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ascii="宋体" w:hAnsi="宋体" w:cs="宋体"/>
          <w:kern w:val="0"/>
          <w:sz w:val="28"/>
          <w:szCs w:val="28"/>
        </w:rPr>
      </w:pPr>
      <w:r>
        <w:rPr>
          <w:rFonts w:hint="eastAsia" w:ascii="宋体" w:hAnsi="宋体" w:cs="宋体"/>
          <w:kern w:val="0"/>
          <w:sz w:val="28"/>
          <w:szCs w:val="28"/>
        </w:rPr>
        <w:t>附件</w:t>
      </w:r>
      <w:r>
        <w:rPr>
          <w:rFonts w:hint="eastAsia" w:ascii="宋体" w:hAnsi="宋体" w:cs="宋体"/>
          <w:kern w:val="0"/>
          <w:sz w:val="28"/>
          <w:szCs w:val="28"/>
          <w:lang w:val="en-US" w:eastAsia="zh-CN"/>
        </w:rPr>
        <w:t>3</w:t>
      </w:r>
      <w:r>
        <w:rPr>
          <w:rFonts w:hint="eastAsia" w:ascii="宋体" w:hAnsi="宋体" w:cs="宋体"/>
          <w:kern w:val="0"/>
          <w:sz w:val="28"/>
          <w:szCs w:val="28"/>
        </w:rPr>
        <w:t>：</w:t>
      </w:r>
    </w:p>
    <w:p>
      <w:pPr>
        <w:jc w:val="center"/>
        <w:rPr>
          <w:rFonts w:ascii="宋体" w:hAnsi="宋体"/>
          <w:b/>
          <w:sz w:val="32"/>
        </w:rPr>
      </w:pPr>
      <w:r>
        <w:rPr>
          <w:rFonts w:hint="eastAsia" w:ascii="宋体" w:hAnsi="宋体"/>
          <w:b/>
          <w:sz w:val="32"/>
        </w:rPr>
        <w:t>行业计量技术规范项目建议书</w:t>
      </w:r>
    </w:p>
    <w:tbl>
      <w:tblPr>
        <w:tblStyle w:val="6"/>
        <w:tblW w:w="9098"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2"/>
        <w:gridCol w:w="1134"/>
        <w:gridCol w:w="850"/>
        <w:gridCol w:w="851"/>
        <w:gridCol w:w="1559"/>
        <w:gridCol w:w="709"/>
        <w:gridCol w:w="1134"/>
        <w:gridCol w:w="203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3"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sz w:val="28"/>
                <w:szCs w:val="28"/>
              </w:rPr>
              <w:t>建议项目名称</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rPr>
                <w:rFonts w:hint="eastAsia" w:eastAsia="宋体"/>
                <w:sz w:val="28"/>
                <w:szCs w:val="28"/>
                <w:lang w:val="en-US" w:eastAsia="zh-CN"/>
              </w:rPr>
            </w:pPr>
            <w:bookmarkStart w:id="0" w:name="_GoBack"/>
            <w:r>
              <w:rPr>
                <w:rFonts w:hint="eastAsia" w:eastAsia="宋体"/>
                <w:sz w:val="28"/>
                <w:szCs w:val="28"/>
                <w:lang w:val="en-US" w:eastAsia="zh-CN"/>
              </w:rPr>
              <w:t>微波消解仪</w:t>
            </w:r>
            <w:r>
              <w:rPr>
                <w:rFonts w:hint="eastAsia"/>
                <w:sz w:val="28"/>
                <w:szCs w:val="28"/>
              </w:rPr>
              <w:t>校准规范</w:t>
            </w:r>
            <w:bookmarkEnd w:id="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65"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制定或修订</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ascii="宋体" w:hAnsi="宋体"/>
                <w:sz w:val="28"/>
                <w:szCs w:val="28"/>
              </w:rPr>
              <w:t xml:space="preserve">   ■</w:t>
            </w:r>
            <w:r>
              <w:rPr>
                <w:rFonts w:hint="eastAsia"/>
                <w:sz w:val="28"/>
                <w:szCs w:val="28"/>
              </w:rPr>
              <w:t>制定    □修订</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sz w:val="28"/>
                <w:szCs w:val="28"/>
              </w:rPr>
            </w:pPr>
            <w:r>
              <w:rPr>
                <w:rFonts w:hint="eastAsia"/>
                <w:sz w:val="28"/>
                <w:szCs w:val="28"/>
              </w:rPr>
              <w:t>被修订计量技术规范号</w:t>
            </w:r>
          </w:p>
        </w:tc>
        <w:tc>
          <w:tcPr>
            <w:tcW w:w="2039" w:type="dxa"/>
            <w:tcBorders>
              <w:top w:val="single" w:color="auto" w:sz="4" w:space="0"/>
              <w:left w:val="single" w:color="auto" w:sz="4" w:space="0"/>
              <w:bottom w:val="single" w:color="auto" w:sz="4" w:space="0"/>
              <w:right w:val="single" w:color="auto" w:sz="4" w:space="0"/>
            </w:tcBorders>
            <w:vAlign w:val="center"/>
          </w:tcPr>
          <w:p>
            <w:pPr>
              <w:rPr>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94"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sz w:val="28"/>
                <w:szCs w:val="28"/>
              </w:rPr>
            </w:pPr>
            <w:r>
              <w:rPr>
                <w:rFonts w:hint="eastAsia"/>
                <w:sz w:val="28"/>
                <w:szCs w:val="28"/>
              </w:rPr>
              <w:t>计量技术规范性质</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sz w:val="28"/>
                <w:szCs w:val="28"/>
              </w:rPr>
            </w:pPr>
            <w:r>
              <w:rPr>
                <w:rFonts w:hint="eastAsia"/>
                <w:sz w:val="28"/>
                <w:szCs w:val="28"/>
              </w:rPr>
              <w:t xml:space="preserve"> □检定规程</w:t>
            </w:r>
          </w:p>
          <w:p>
            <w:pPr>
              <w:spacing w:line="400" w:lineRule="exact"/>
              <w:jc w:val="center"/>
              <w:rPr>
                <w:rFonts w:hint="eastAsia" w:ascii="宋体" w:hAnsi="宋体"/>
                <w:sz w:val="28"/>
                <w:szCs w:val="28"/>
              </w:rPr>
            </w:pPr>
            <w:r>
              <w:rPr>
                <w:rFonts w:hint="eastAsia"/>
                <w:sz w:val="28"/>
                <w:szCs w:val="28"/>
              </w:rPr>
              <w:t xml:space="preserve"> ■校准规范</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sz w:val="28"/>
                <w:szCs w:val="28"/>
              </w:rPr>
            </w:pPr>
            <w:r>
              <w:rPr>
                <w:rFonts w:hint="eastAsia" w:ascii="宋体" w:hAnsi="宋体"/>
                <w:sz w:val="28"/>
                <w:szCs w:val="28"/>
              </w:rPr>
              <w:t>计量技术规范类别</w:t>
            </w:r>
          </w:p>
        </w:tc>
        <w:tc>
          <w:tcPr>
            <w:tcW w:w="203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sz w:val="28"/>
                <w:szCs w:val="28"/>
              </w:rPr>
            </w:pPr>
            <w:r>
              <w:rPr>
                <w:rFonts w:hint="eastAsia"/>
                <w:sz w:val="28"/>
                <w:szCs w:val="28"/>
              </w:rPr>
              <w:t>□重点</w:t>
            </w:r>
          </w:p>
          <w:p>
            <w:pPr>
              <w:spacing w:line="400" w:lineRule="exact"/>
              <w:jc w:val="center"/>
              <w:rPr>
                <w:sz w:val="28"/>
                <w:szCs w:val="28"/>
              </w:rPr>
            </w:pPr>
            <w:r>
              <w:rPr>
                <w:rFonts w:hint="eastAsia"/>
                <w:sz w:val="28"/>
                <w:szCs w:val="28"/>
              </w:rPr>
              <w:t>■基础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6"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主要起草单位</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 w:val="24"/>
                <w:lang w:eastAsia="zh-CN"/>
              </w:rPr>
            </w:pPr>
            <w:r>
              <w:rPr>
                <w:rFonts w:hint="eastAsia" w:ascii="宋体" w:hAnsi="宋体"/>
                <w:sz w:val="24"/>
                <w:lang w:eastAsia="zh-CN"/>
              </w:rPr>
              <w:t>国标（北京）检验认证有限公司</w:t>
            </w:r>
          </w:p>
          <w:p>
            <w:pPr>
              <w:jc w:val="center"/>
              <w:rPr>
                <w:rFonts w:hint="eastAsia"/>
                <w:sz w:val="24"/>
              </w:rPr>
            </w:pPr>
            <w:r>
              <w:rPr>
                <w:rFonts w:hint="eastAsia" w:ascii="宋体" w:hAnsi="宋体"/>
                <w:sz w:val="24"/>
              </w:rPr>
              <w:t>(国家</w:t>
            </w:r>
            <w:r>
              <w:rPr>
                <w:rFonts w:hint="eastAsia" w:ascii="宋体" w:hAnsi="宋体"/>
                <w:sz w:val="24"/>
                <w:lang w:eastAsia="zh-CN"/>
              </w:rPr>
              <w:t>有色金属</w:t>
            </w:r>
            <w:r>
              <w:rPr>
                <w:rFonts w:hint="eastAsia" w:ascii="宋体" w:hAnsi="宋体"/>
                <w:sz w:val="24"/>
              </w:rPr>
              <w:t>质量监督检验中心)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color w:val="000000"/>
                <w:sz w:val="28"/>
                <w:szCs w:val="28"/>
              </w:rPr>
            </w:pPr>
            <w:r>
              <w:rPr>
                <w:rFonts w:hint="eastAsia"/>
                <w:color w:val="000000"/>
                <w:sz w:val="28"/>
                <w:szCs w:val="28"/>
              </w:rPr>
              <w:t>联系人</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color w:val="000000"/>
                <w:sz w:val="28"/>
                <w:szCs w:val="28"/>
                <w:lang w:val="en-US" w:eastAsia="zh-CN"/>
              </w:rPr>
            </w:pPr>
            <w:r>
              <w:rPr>
                <w:rFonts w:hint="eastAsia"/>
                <w:color w:val="000000"/>
                <w:sz w:val="28"/>
                <w:szCs w:val="28"/>
                <w:lang w:val="en-US" w:eastAsia="zh-CN"/>
              </w:rPr>
              <w:t>刘英</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sz w:val="28"/>
                <w:szCs w:val="28"/>
              </w:rPr>
            </w:pPr>
            <w:r>
              <w:rPr>
                <w:rFonts w:hint="eastAsia"/>
                <w:color w:val="000000"/>
                <w:sz w:val="28"/>
                <w:szCs w:val="28"/>
              </w:rPr>
              <w:t>联系电话</w:t>
            </w:r>
          </w:p>
        </w:tc>
        <w:tc>
          <w:tcPr>
            <w:tcW w:w="203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sz w:val="28"/>
                <w:szCs w:val="28"/>
                <w:lang w:val="en-US" w:eastAsia="zh-CN"/>
              </w:rPr>
            </w:pPr>
            <w:r>
              <w:rPr>
                <w:rFonts w:hint="eastAsia"/>
                <w:sz w:val="28"/>
                <w:szCs w:val="28"/>
                <w:lang w:val="en-US" w:eastAsia="zh-CN"/>
              </w:rPr>
              <w:t>010-82241352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sz w:val="28"/>
                <w:szCs w:val="28"/>
              </w:rPr>
            </w:pPr>
            <w:r>
              <w:rPr>
                <w:rFonts w:hint="eastAsia" w:ascii="宋体" w:hAnsi="宋体"/>
                <w:color w:val="000000"/>
                <w:sz w:val="28"/>
                <w:szCs w:val="28"/>
              </w:rPr>
              <w:t>任务年限</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jc w:val="center"/>
              <w:rPr>
                <w:color w:val="000000"/>
                <w:sz w:val="28"/>
                <w:szCs w:val="28"/>
              </w:rPr>
            </w:pPr>
            <w:r>
              <w:rPr>
                <w:color w:val="000000"/>
                <w:sz w:val="28"/>
                <w:szCs w:val="28"/>
              </w:rPr>
              <w:t>201</w:t>
            </w:r>
            <w:r>
              <w:rPr>
                <w:rFonts w:hint="eastAsia"/>
                <w:color w:val="000000"/>
                <w:sz w:val="28"/>
                <w:szCs w:val="28"/>
                <w:lang w:val="en-US" w:eastAsia="zh-CN"/>
              </w:rPr>
              <w:t>9</w:t>
            </w:r>
            <w:r>
              <w:rPr>
                <w:rFonts w:hint="eastAsia"/>
                <w:color w:val="000000"/>
                <w:sz w:val="28"/>
                <w:szCs w:val="28"/>
              </w:rPr>
              <w:t>年完成</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sz w:val="28"/>
                <w:szCs w:val="28"/>
              </w:rPr>
            </w:pPr>
            <w:r>
              <w:rPr>
                <w:rFonts w:hint="eastAsia" w:ascii="宋体" w:hAnsi="宋体"/>
                <w:color w:val="000000"/>
                <w:sz w:val="28"/>
                <w:szCs w:val="28"/>
              </w:rPr>
              <w:t>申请经费</w:t>
            </w:r>
          </w:p>
        </w:tc>
        <w:tc>
          <w:tcPr>
            <w:tcW w:w="2039" w:type="dxa"/>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5</w:t>
            </w:r>
            <w:r>
              <w:rPr>
                <w:rFonts w:hint="eastAsia"/>
                <w:sz w:val="28"/>
                <w:szCs w:val="28"/>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参加单位</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jc w:val="left"/>
              <w:rPr>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8"/>
                <w:szCs w:val="28"/>
              </w:rPr>
            </w:pPr>
            <w:r>
              <w:rPr>
                <w:rFonts w:hint="eastAsia"/>
                <w:sz w:val="28"/>
                <w:szCs w:val="28"/>
              </w:rPr>
              <w:t>具备的特点</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sz w:val="28"/>
                <w:szCs w:val="28"/>
              </w:rPr>
              <w:t xml:space="preserve">□安全 □节能 □环保 </w:t>
            </w:r>
            <w:r>
              <w:rPr>
                <w:rFonts w:hint="eastAsia" w:ascii="宋体" w:hAnsi="宋体"/>
              </w:rPr>
              <w:t>█</w:t>
            </w:r>
            <w:r>
              <w:rPr>
                <w:rFonts w:hint="eastAsia"/>
                <w:sz w:val="28"/>
                <w:szCs w:val="28"/>
              </w:rPr>
              <w:t>自主创新 □其它</w:t>
            </w:r>
            <w:r>
              <w:rPr>
                <w:rFonts w:hint="eastAsia"/>
                <w:sz w:val="28"/>
                <w:szCs w:val="28"/>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929"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8"/>
                <w:szCs w:val="28"/>
              </w:rPr>
            </w:pPr>
            <w:r>
              <w:rPr>
                <w:rFonts w:hint="eastAsia"/>
                <w:sz w:val="28"/>
                <w:szCs w:val="28"/>
              </w:rPr>
              <w:t>目的、意义和</w:t>
            </w:r>
          </w:p>
          <w:p>
            <w:pPr>
              <w:spacing w:line="500" w:lineRule="exact"/>
              <w:jc w:val="center"/>
              <w:rPr>
                <w:sz w:val="28"/>
                <w:szCs w:val="28"/>
              </w:rPr>
            </w:pPr>
            <w:r>
              <w:rPr>
                <w:rFonts w:hint="eastAsia"/>
                <w:sz w:val="28"/>
                <w:szCs w:val="28"/>
              </w:rPr>
              <w:t>必要性</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spacing w:line="360" w:lineRule="auto"/>
              <w:ind w:firstLine="480" w:firstLineChars="200"/>
              <w:rPr>
                <w:rFonts w:hint="eastAsia"/>
                <w:sz w:val="24"/>
                <w:szCs w:val="24"/>
                <w:lang w:val="en-US" w:eastAsia="zh-CN"/>
              </w:rPr>
            </w:pPr>
            <w:r>
              <w:rPr>
                <w:rFonts w:hint="eastAsia"/>
                <w:sz w:val="24"/>
                <w:szCs w:val="24"/>
                <w:lang w:val="en-US" w:eastAsia="zh-CN"/>
              </w:rPr>
              <w:t>微波消解仪是一种实验室常用的样品前处理设备，其工作原理是利用微波的电磁效应和对极性物质的内加热作用加热密闭容器内的样品，使其在高温增压条件下能够快速消解。与传统的多孔消化器或消煮炉相比，微波消解仪（技术）具有反应速度快、消化时间短、无尾气泄漏、可程序控制、自动化程度高等优点，目前已经被广泛应用于矿石、有色金属、食品、药品、环境样品、石化产品等样品的消化处理过程。</w:t>
            </w:r>
          </w:p>
          <w:p>
            <w:pPr>
              <w:spacing w:line="360" w:lineRule="auto"/>
              <w:ind w:firstLine="480" w:firstLineChars="200"/>
              <w:rPr>
                <w:sz w:val="18"/>
                <w:szCs w:val="18"/>
                <w:lang w:val="en-US"/>
              </w:rPr>
            </w:pPr>
            <w:r>
              <w:rPr>
                <w:rFonts w:hint="eastAsia"/>
                <w:sz w:val="24"/>
                <w:szCs w:val="24"/>
                <w:lang w:val="en-US" w:eastAsia="zh-CN"/>
              </w:rPr>
              <w:t>微波消解仪主要由自动控制系统、磁控管、波导管、微波炉腔、能转动的负载盘和样品架、排风系统、安全防护门等部分组成。其中，温度控制系统通常采用高频率高精度的光纤温度传感器或高精度红外温度传感器，具有开机自检、故障自检和超感应紧急防爆等功能，是微波消解仪最重要的组成部分之一。温度控制系统各项性能指标的好坏及状态的稳定性（如温度示值误差、温度均匀性、温度波动性、加热计时准确性等）对于样品的消化程度和设备使用的安全性具有十分重要的影响。近些年来，随着大量高强度高硬度、耐腐蚀的金属及合金新材料（如镍基高温合金、钨钼硬质合金、碳化钨等）的开发和应用，微波消解仪在有色金属分析检测领域的应用也越来越广泛，因此十分有必要在有色金属行业建立针对微波消解仪主要计量性能的校准技术规范。科学的校准规范能够有效确保校准操作的规范性和校准结果的可靠性，能够有效确保该仪器运行的可靠性，从而有利于该仪器的推广应用，对于提升产品质量水平、推动有色金属检测技术发展具有十分重要的积极作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323"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范围和主要</w:t>
            </w:r>
          </w:p>
          <w:p>
            <w:pPr>
              <w:jc w:val="center"/>
              <w:rPr>
                <w:sz w:val="28"/>
                <w:szCs w:val="28"/>
              </w:rPr>
            </w:pPr>
            <w:r>
              <w:rPr>
                <w:rFonts w:hint="eastAsia"/>
                <w:sz w:val="28"/>
                <w:szCs w:val="28"/>
              </w:rPr>
              <w:t>计量特性</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sz w:val="24"/>
                <w:szCs w:val="24"/>
              </w:rPr>
            </w:pPr>
            <w:r>
              <w:rPr>
                <w:rFonts w:hint="eastAsia"/>
                <w:sz w:val="24"/>
                <w:szCs w:val="24"/>
                <w:lang w:val="en-US" w:eastAsia="zh-CN"/>
              </w:rPr>
              <w:t>1、</w:t>
            </w:r>
            <w:r>
              <w:rPr>
                <w:rFonts w:hint="eastAsia"/>
                <w:sz w:val="24"/>
                <w:szCs w:val="24"/>
              </w:rPr>
              <w:t>本规范适用于</w:t>
            </w:r>
            <w:r>
              <w:rPr>
                <w:rFonts w:hint="eastAsia"/>
                <w:sz w:val="24"/>
                <w:szCs w:val="24"/>
                <w:lang w:val="en-US" w:eastAsia="zh-CN"/>
              </w:rPr>
              <w:t>微波消解仪</w:t>
            </w:r>
            <w:r>
              <w:rPr>
                <w:rFonts w:hint="eastAsia"/>
                <w:sz w:val="24"/>
                <w:szCs w:val="24"/>
              </w:rPr>
              <w:t>的校准</w:t>
            </w:r>
            <w:r>
              <w:rPr>
                <w:rFonts w:hint="eastAsia"/>
                <w:sz w:val="24"/>
                <w:szCs w:val="24"/>
                <w:lang w:eastAsia="zh-CN"/>
              </w:rPr>
              <w:t>。</w:t>
            </w:r>
          </w:p>
          <w:p>
            <w:pPr>
              <w:spacing w:line="360" w:lineRule="auto"/>
              <w:rPr>
                <w:rFonts w:hint="eastAsia"/>
                <w:sz w:val="24"/>
                <w:szCs w:val="24"/>
              </w:rPr>
            </w:pPr>
            <w:r>
              <w:rPr>
                <w:rFonts w:hint="eastAsia"/>
                <w:sz w:val="24"/>
                <w:szCs w:val="24"/>
                <w:lang w:val="en-US" w:eastAsia="zh-CN"/>
              </w:rPr>
              <w:t>2、本规范规定的</w:t>
            </w:r>
            <w:r>
              <w:rPr>
                <w:rFonts w:hint="eastAsia"/>
                <w:sz w:val="24"/>
                <w:szCs w:val="24"/>
              </w:rPr>
              <w:t>主要计量特性</w:t>
            </w:r>
            <w:r>
              <w:rPr>
                <w:rFonts w:hint="eastAsia"/>
                <w:sz w:val="24"/>
                <w:szCs w:val="24"/>
                <w:lang w:val="en-US" w:eastAsia="zh-CN"/>
              </w:rPr>
              <w:t>及</w:t>
            </w:r>
            <w:r>
              <w:rPr>
                <w:rFonts w:hint="eastAsia"/>
                <w:sz w:val="24"/>
                <w:szCs w:val="24"/>
              </w:rPr>
              <w:t>技术指标</w:t>
            </w:r>
            <w:r>
              <w:rPr>
                <w:rFonts w:hint="eastAsia"/>
                <w:sz w:val="24"/>
                <w:szCs w:val="24"/>
                <w:lang w:val="en-US" w:eastAsia="zh-CN"/>
              </w:rPr>
              <w:t>为</w:t>
            </w:r>
            <w:r>
              <w:rPr>
                <w:rFonts w:hint="eastAsia"/>
                <w:sz w:val="24"/>
                <w:szCs w:val="24"/>
                <w:lang w:eastAsia="zh-CN"/>
              </w:rPr>
              <w:t>：</w:t>
            </w:r>
          </w:p>
          <w:p>
            <w:pPr>
              <w:spacing w:line="360" w:lineRule="auto"/>
              <w:rPr>
                <w:rFonts w:hint="eastAsia"/>
                <w:sz w:val="24"/>
                <w:szCs w:val="24"/>
                <w:lang w:val="en-US" w:eastAsia="zh-CN"/>
              </w:rPr>
            </w:pPr>
            <w:r>
              <w:rPr>
                <w:rFonts w:hint="eastAsia"/>
                <w:sz w:val="24"/>
                <w:szCs w:val="24"/>
                <w:lang w:val="en-US" w:eastAsia="zh-CN"/>
              </w:rPr>
              <w:t xml:space="preserve">（1）温度示值误差：≤±2 </w:t>
            </w:r>
            <w:r>
              <w:rPr>
                <w:rFonts w:hint="eastAsia"/>
                <w:sz w:val="24"/>
                <w:szCs w:val="24"/>
                <w:vertAlign w:val="superscript"/>
                <w:lang w:val="en-US" w:eastAsia="zh-CN"/>
              </w:rPr>
              <w:t>o</w:t>
            </w:r>
            <w:r>
              <w:rPr>
                <w:rFonts w:hint="eastAsia"/>
                <w:sz w:val="24"/>
                <w:szCs w:val="24"/>
                <w:lang w:val="en-US" w:eastAsia="zh-CN"/>
              </w:rPr>
              <w:t xml:space="preserve">C（室温~180 </w:t>
            </w:r>
            <w:r>
              <w:rPr>
                <w:rFonts w:hint="eastAsia"/>
                <w:sz w:val="24"/>
                <w:szCs w:val="24"/>
                <w:vertAlign w:val="superscript"/>
                <w:lang w:val="en-US" w:eastAsia="zh-CN"/>
              </w:rPr>
              <w:t>o</w:t>
            </w:r>
            <w:r>
              <w:rPr>
                <w:rFonts w:hint="eastAsia"/>
                <w:sz w:val="24"/>
                <w:szCs w:val="24"/>
                <w:lang w:val="en-US" w:eastAsia="zh-CN"/>
              </w:rPr>
              <w:t>C）；</w:t>
            </w:r>
          </w:p>
          <w:p>
            <w:pPr>
              <w:spacing w:line="360" w:lineRule="auto"/>
              <w:rPr>
                <w:rFonts w:hint="eastAsia"/>
                <w:sz w:val="24"/>
                <w:szCs w:val="24"/>
                <w:lang w:val="en-US" w:eastAsia="zh-CN"/>
              </w:rPr>
            </w:pPr>
            <w:r>
              <w:rPr>
                <w:rFonts w:hint="eastAsia"/>
                <w:sz w:val="24"/>
                <w:szCs w:val="24"/>
                <w:lang w:val="en-US" w:eastAsia="zh-CN"/>
              </w:rPr>
              <w:t xml:space="preserve">（2）温度均匀度：≤2 </w:t>
            </w:r>
            <w:r>
              <w:rPr>
                <w:rFonts w:hint="eastAsia"/>
                <w:sz w:val="24"/>
                <w:szCs w:val="24"/>
                <w:vertAlign w:val="superscript"/>
                <w:lang w:val="en-US" w:eastAsia="zh-CN"/>
              </w:rPr>
              <w:t>o</w:t>
            </w:r>
            <w:r>
              <w:rPr>
                <w:rFonts w:hint="eastAsia"/>
                <w:sz w:val="24"/>
                <w:szCs w:val="24"/>
                <w:lang w:val="en-US" w:eastAsia="zh-CN"/>
              </w:rPr>
              <w:t xml:space="preserve">C（室温~180 </w:t>
            </w:r>
            <w:r>
              <w:rPr>
                <w:rFonts w:hint="eastAsia"/>
                <w:sz w:val="24"/>
                <w:szCs w:val="24"/>
                <w:vertAlign w:val="superscript"/>
                <w:lang w:val="en-US" w:eastAsia="zh-CN"/>
              </w:rPr>
              <w:t>o</w:t>
            </w:r>
            <w:r>
              <w:rPr>
                <w:rFonts w:hint="eastAsia"/>
                <w:sz w:val="24"/>
                <w:szCs w:val="24"/>
                <w:lang w:val="en-US" w:eastAsia="zh-CN"/>
              </w:rPr>
              <w:t>C）；</w:t>
            </w:r>
          </w:p>
          <w:p>
            <w:pPr>
              <w:spacing w:line="360" w:lineRule="auto"/>
              <w:rPr>
                <w:rFonts w:hint="eastAsia"/>
                <w:sz w:val="24"/>
                <w:szCs w:val="24"/>
                <w:lang w:val="en-US" w:eastAsia="zh-CN"/>
              </w:rPr>
            </w:pPr>
            <w:r>
              <w:rPr>
                <w:rFonts w:hint="eastAsia"/>
                <w:sz w:val="24"/>
                <w:szCs w:val="24"/>
                <w:lang w:val="en-US" w:eastAsia="zh-CN"/>
              </w:rPr>
              <w:t>（3）温度波动度：≤±1</w:t>
            </w:r>
            <w:r>
              <w:rPr>
                <w:rFonts w:hint="eastAsia"/>
                <w:sz w:val="24"/>
                <w:szCs w:val="24"/>
                <w:vertAlign w:val="superscript"/>
                <w:lang w:val="en-US" w:eastAsia="zh-CN"/>
              </w:rPr>
              <w:t>o</w:t>
            </w:r>
            <w:r>
              <w:rPr>
                <w:rFonts w:hint="eastAsia"/>
                <w:sz w:val="24"/>
                <w:szCs w:val="24"/>
                <w:lang w:val="en-US" w:eastAsia="zh-CN"/>
              </w:rPr>
              <w:t xml:space="preserve">C（140 </w:t>
            </w:r>
            <w:r>
              <w:rPr>
                <w:rFonts w:hint="eastAsia"/>
                <w:sz w:val="24"/>
                <w:szCs w:val="24"/>
                <w:vertAlign w:val="superscript"/>
                <w:lang w:val="en-US" w:eastAsia="zh-CN"/>
              </w:rPr>
              <w:t>o</w:t>
            </w:r>
            <w:r>
              <w:rPr>
                <w:rFonts w:hint="eastAsia"/>
                <w:sz w:val="24"/>
                <w:szCs w:val="24"/>
                <w:lang w:val="en-US" w:eastAsia="zh-CN"/>
              </w:rPr>
              <w:t xml:space="preserve">C或160 </w:t>
            </w:r>
            <w:r>
              <w:rPr>
                <w:rFonts w:hint="eastAsia"/>
                <w:sz w:val="24"/>
                <w:szCs w:val="24"/>
                <w:vertAlign w:val="superscript"/>
                <w:lang w:val="en-US" w:eastAsia="zh-CN"/>
              </w:rPr>
              <w:t>o</w:t>
            </w:r>
            <w:r>
              <w:rPr>
                <w:rFonts w:hint="eastAsia"/>
                <w:sz w:val="24"/>
                <w:szCs w:val="24"/>
                <w:lang w:val="en-US" w:eastAsia="zh-CN"/>
              </w:rPr>
              <w:t>C）；</w:t>
            </w:r>
          </w:p>
          <w:p>
            <w:pPr>
              <w:spacing w:line="360" w:lineRule="auto"/>
              <w:rPr>
                <w:rFonts w:hint="eastAsia"/>
                <w:szCs w:val="21"/>
                <w:lang w:eastAsia="zh-CN"/>
              </w:rPr>
            </w:pPr>
            <w:r>
              <w:rPr>
                <w:rFonts w:hint="eastAsia"/>
                <w:sz w:val="24"/>
                <w:szCs w:val="24"/>
                <w:lang w:val="en-US" w:eastAsia="zh-CN"/>
              </w:rPr>
              <w:t>（4）计时准确性：≤±1 s（加热15 min或20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7"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水平</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rPr>
                <w:sz w:val="28"/>
                <w:szCs w:val="28"/>
              </w:rPr>
            </w:pPr>
            <w:r>
              <w:rPr>
                <w:rFonts w:hint="eastAsia"/>
                <w:sz w:val="28"/>
                <w:szCs w:val="28"/>
              </w:rPr>
              <w:t xml:space="preserve">       □国际先进        ■国内先进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86"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8"/>
                <w:szCs w:val="28"/>
              </w:rPr>
            </w:pPr>
            <w:r>
              <w:rPr>
                <w:rFonts w:hint="eastAsia"/>
                <w:sz w:val="28"/>
                <w:szCs w:val="28"/>
              </w:rPr>
              <w:t>国内外情况</w:t>
            </w:r>
          </w:p>
          <w:p>
            <w:pPr>
              <w:spacing w:line="500" w:lineRule="exact"/>
              <w:jc w:val="center"/>
              <w:rPr>
                <w:sz w:val="28"/>
                <w:szCs w:val="28"/>
              </w:rPr>
            </w:pPr>
            <w:r>
              <w:rPr>
                <w:rFonts w:hint="eastAsia"/>
                <w:sz w:val="28"/>
                <w:szCs w:val="28"/>
              </w:rPr>
              <w:t>简要说明</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lang w:val="en-US" w:eastAsia="zh-CN"/>
              </w:rPr>
            </w:pPr>
            <w:r>
              <w:rPr>
                <w:rFonts w:hint="eastAsia"/>
                <w:sz w:val="24"/>
                <w:szCs w:val="24"/>
                <w:lang w:eastAsia="zh-CN"/>
              </w:rPr>
              <w:t>目前国内</w:t>
            </w:r>
            <w:r>
              <w:rPr>
                <w:rFonts w:hint="eastAsia"/>
                <w:sz w:val="24"/>
                <w:szCs w:val="24"/>
                <w:lang w:val="en-US" w:eastAsia="zh-CN"/>
              </w:rPr>
              <w:t>微波消解仪的校准规范主要有SL 144.8-2008《微波消解仪校验方法》和JJF（蒙）030-2018《微波消解仪校准规范》。SL 144.8-2008《微波消解仪校验方法》是水利行业的计量标准规范，该规范规定了微波消解仪外观与显示功能、设定功率、压力传感器、消解罐系统、绝缘性能、运行状态、消解不均匀性、计时准确性、允许微波泄漏的限值指标等计量特性的技术指标，以及相应的校准条件和校准方法。JJF（蒙）030-2018《微波消解仪校准规范》是内蒙古自治区的地方计量技术规范，该规范规定了微波消解仪温度示值误差、温度均匀度、温度波动度等主要计量特性的技术指标，以及校准条件和校准方法。然而目前在有色金属领域还没有针对微波消解仪的计量校准技术规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28"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r>
              <w:rPr>
                <w:rFonts w:hint="eastAsia"/>
                <w:sz w:val="24"/>
              </w:rPr>
              <w:t>主要</w:t>
            </w:r>
          </w:p>
          <w:p>
            <w:pPr>
              <w:spacing w:line="500" w:lineRule="exact"/>
              <w:jc w:val="center"/>
              <w:rPr>
                <w:sz w:val="24"/>
              </w:rPr>
            </w:pPr>
            <w:r>
              <w:rPr>
                <w:rFonts w:hint="eastAsia"/>
                <w:sz w:val="24"/>
              </w:rPr>
              <w:t>起草单位</w:t>
            </w:r>
          </w:p>
        </w:tc>
        <w:tc>
          <w:tcPr>
            <w:tcW w:w="1984"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p>
          <w:p>
            <w:pPr>
              <w:spacing w:line="500" w:lineRule="exact"/>
              <w:jc w:val="center"/>
              <w:rPr>
                <w:rFonts w:hint="eastAsia"/>
                <w:sz w:val="24"/>
              </w:rPr>
            </w:pPr>
          </w:p>
          <w:p>
            <w:pPr>
              <w:spacing w:line="500" w:lineRule="exact"/>
              <w:jc w:val="center"/>
              <w:rPr>
                <w:sz w:val="24"/>
              </w:rPr>
            </w:pPr>
            <w:r>
              <w:rPr>
                <w:rFonts w:hint="eastAsia"/>
                <w:sz w:val="24"/>
              </w:rPr>
              <w:t>（签字、盖公章）</w:t>
            </w:r>
          </w:p>
          <w:p>
            <w:pPr>
              <w:spacing w:line="500" w:lineRule="exact"/>
              <w:jc w:val="center"/>
              <w:rPr>
                <w:rFonts w:hint="eastAsia"/>
                <w:sz w:val="24"/>
              </w:rPr>
            </w:pPr>
            <w:r>
              <w:rPr>
                <w:rFonts w:hint="eastAsia"/>
                <w:sz w:val="24"/>
              </w:rPr>
              <w:t xml:space="preserve">  </w:t>
            </w:r>
          </w:p>
          <w:p>
            <w:pPr>
              <w:spacing w:line="500" w:lineRule="exact"/>
              <w:jc w:val="center"/>
              <w:rPr>
                <w:sz w:val="24"/>
              </w:rPr>
            </w:pPr>
          </w:p>
          <w:p>
            <w:pPr>
              <w:spacing w:line="500" w:lineRule="exact"/>
              <w:jc w:val="center"/>
              <w:rPr>
                <w:sz w:val="24"/>
              </w:rPr>
            </w:pPr>
            <w:r>
              <w:rPr>
                <w:rFonts w:hint="eastAsia"/>
                <w:sz w:val="24"/>
              </w:rPr>
              <w:t>月</w:t>
            </w:r>
            <w:r>
              <w:rPr>
                <w:rFonts w:hint="eastAsia"/>
                <w:sz w:val="24"/>
                <w:lang w:val="en-US" w:eastAsia="zh-CN"/>
              </w:rPr>
              <w:t xml:space="preserve">  </w:t>
            </w:r>
            <w:r>
              <w:rPr>
                <w:rFonts w:hint="eastAsia"/>
                <w:sz w:val="24"/>
              </w:rPr>
              <w:t>日</w:t>
            </w:r>
          </w:p>
        </w:tc>
        <w:tc>
          <w:tcPr>
            <w:tcW w:w="85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r>
              <w:rPr>
                <w:rFonts w:hint="eastAsia"/>
                <w:sz w:val="24"/>
              </w:rPr>
              <w:t>技术</w:t>
            </w:r>
          </w:p>
          <w:p>
            <w:pPr>
              <w:spacing w:line="500" w:lineRule="exact"/>
              <w:jc w:val="center"/>
              <w:rPr>
                <w:sz w:val="24"/>
              </w:rPr>
            </w:pPr>
            <w:r>
              <w:rPr>
                <w:rFonts w:hint="eastAsia"/>
                <w:sz w:val="24"/>
              </w:rPr>
              <w:t>委员会</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p>
          <w:p>
            <w:pPr>
              <w:spacing w:line="500" w:lineRule="exact"/>
              <w:jc w:val="center"/>
              <w:rPr>
                <w:rFonts w:hint="eastAsia"/>
                <w:sz w:val="24"/>
              </w:rPr>
            </w:pPr>
          </w:p>
          <w:p>
            <w:pPr>
              <w:spacing w:line="500" w:lineRule="exact"/>
              <w:jc w:val="center"/>
              <w:rPr>
                <w:sz w:val="24"/>
              </w:rPr>
            </w:pPr>
            <w:r>
              <w:rPr>
                <w:rFonts w:hint="eastAsia"/>
                <w:sz w:val="24"/>
              </w:rPr>
              <w:t>（签字、盖公章）</w:t>
            </w:r>
          </w:p>
          <w:p>
            <w:pPr>
              <w:spacing w:line="500" w:lineRule="exact"/>
              <w:jc w:val="center"/>
              <w:rPr>
                <w:rFonts w:hint="eastAsia"/>
                <w:sz w:val="24"/>
              </w:rPr>
            </w:pPr>
          </w:p>
          <w:p>
            <w:pPr>
              <w:spacing w:line="500" w:lineRule="exact"/>
              <w:jc w:val="center"/>
              <w:rPr>
                <w:sz w:val="24"/>
              </w:rPr>
            </w:pPr>
          </w:p>
          <w:p>
            <w:pPr>
              <w:spacing w:line="500" w:lineRule="exact"/>
              <w:jc w:val="center"/>
              <w:rPr>
                <w:sz w:val="24"/>
              </w:rPr>
            </w:pPr>
            <w:r>
              <w:rPr>
                <w:rFonts w:hint="eastAsia"/>
                <w:sz w:val="24"/>
              </w:rPr>
              <w:t>月</w:t>
            </w:r>
            <w:r>
              <w:rPr>
                <w:sz w:val="24"/>
              </w:rPr>
              <w:t xml:space="preserve">  </w:t>
            </w:r>
            <w:r>
              <w:rPr>
                <w:rFonts w:hint="eastAsia"/>
                <w:sz w:val="24"/>
              </w:rPr>
              <w:t>日</w:t>
            </w:r>
          </w:p>
        </w:tc>
        <w:tc>
          <w:tcPr>
            <w:tcW w:w="113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r>
              <w:rPr>
                <w:rFonts w:hint="eastAsia"/>
                <w:sz w:val="24"/>
              </w:rPr>
              <w:t>部委托</w:t>
            </w:r>
          </w:p>
          <w:p>
            <w:pPr>
              <w:spacing w:line="500" w:lineRule="exact"/>
              <w:jc w:val="center"/>
              <w:rPr>
                <w:rFonts w:hint="eastAsia"/>
                <w:sz w:val="24"/>
              </w:rPr>
            </w:pPr>
            <w:r>
              <w:rPr>
                <w:rFonts w:hint="eastAsia"/>
                <w:sz w:val="24"/>
              </w:rPr>
              <w:t>支撑</w:t>
            </w:r>
          </w:p>
          <w:p>
            <w:pPr>
              <w:spacing w:line="500" w:lineRule="exact"/>
              <w:jc w:val="center"/>
              <w:rPr>
                <w:sz w:val="24"/>
              </w:rPr>
            </w:pPr>
            <w:r>
              <w:rPr>
                <w:rFonts w:hint="eastAsia"/>
                <w:sz w:val="24"/>
              </w:rPr>
              <w:t>单位</w:t>
            </w:r>
          </w:p>
        </w:tc>
        <w:tc>
          <w:tcPr>
            <w:tcW w:w="2039"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p>
          <w:p>
            <w:pPr>
              <w:spacing w:line="500" w:lineRule="exact"/>
              <w:jc w:val="center"/>
              <w:rPr>
                <w:rFonts w:hint="eastAsia"/>
                <w:sz w:val="24"/>
              </w:rPr>
            </w:pPr>
          </w:p>
          <w:p>
            <w:pPr>
              <w:spacing w:line="500" w:lineRule="exact"/>
              <w:jc w:val="center"/>
              <w:rPr>
                <w:sz w:val="24"/>
              </w:rPr>
            </w:pPr>
            <w:r>
              <w:rPr>
                <w:rFonts w:hint="eastAsia"/>
                <w:sz w:val="24"/>
              </w:rPr>
              <w:t>（签字、盖公章）</w:t>
            </w:r>
          </w:p>
          <w:p>
            <w:pPr>
              <w:spacing w:line="500" w:lineRule="exact"/>
              <w:jc w:val="center"/>
              <w:rPr>
                <w:rFonts w:hint="eastAsia"/>
                <w:sz w:val="24"/>
              </w:rPr>
            </w:pPr>
          </w:p>
          <w:p>
            <w:pPr>
              <w:spacing w:line="500" w:lineRule="exact"/>
              <w:jc w:val="center"/>
              <w:rPr>
                <w:sz w:val="24"/>
              </w:rPr>
            </w:pPr>
          </w:p>
          <w:p>
            <w:pPr>
              <w:spacing w:line="500" w:lineRule="exact"/>
              <w:jc w:val="center"/>
              <w:rPr>
                <w:sz w:val="24"/>
              </w:rPr>
            </w:pPr>
            <w:r>
              <w:rPr>
                <w:rFonts w:hint="eastAsia"/>
                <w:sz w:val="24"/>
              </w:rPr>
              <w:t>月</w:t>
            </w:r>
            <w:r>
              <w:rPr>
                <w:sz w:val="24"/>
              </w:rPr>
              <w:t xml:space="preserve">  </w:t>
            </w:r>
            <w:r>
              <w:rPr>
                <w:rFonts w:hint="eastAsia"/>
                <w:sz w:val="24"/>
              </w:rPr>
              <w:t>日</w:t>
            </w:r>
          </w:p>
        </w:tc>
      </w:tr>
    </w:tbl>
    <w:p>
      <w:pPr>
        <w:rPr>
          <w:rFonts w:hint="eastAsia"/>
        </w:rPr>
      </w:pPr>
      <w:r>
        <w:rPr>
          <w:rFonts w:hint="eastAsia"/>
        </w:rPr>
        <w:t>填写说明：1.表中第</w:t>
      </w:r>
      <w:r>
        <w:t>2</w:t>
      </w:r>
      <w:r>
        <w:rPr>
          <w:rFonts w:hint="eastAsia"/>
        </w:rPr>
        <w:t>，</w:t>
      </w:r>
      <w:r>
        <w:t>3</w:t>
      </w:r>
      <w:r>
        <w:rPr>
          <w:rFonts w:hint="eastAsia"/>
        </w:rPr>
        <w:t>，8行，请在选定的内容上填写 “</w:t>
      </w:r>
      <w:r>
        <w:rPr>
          <w:rFonts w:hint="eastAsia" w:ascii="宋体" w:hAnsi="宋体"/>
        </w:rPr>
        <w:t>█</w:t>
      </w:r>
      <w:r>
        <w:rPr>
          <w:rFonts w:hint="eastAsia"/>
        </w:rPr>
        <w:t>”的符号。</w:t>
      </w:r>
    </w:p>
    <w:p>
      <w:pPr>
        <w:rPr>
          <w:szCs w:val="21"/>
        </w:rPr>
      </w:pPr>
      <w:r>
        <w:rPr>
          <w:rFonts w:hint="eastAsia"/>
        </w:rPr>
        <w:t xml:space="preserve">          </w:t>
      </w:r>
      <w:r>
        <w:rPr>
          <w:rFonts w:hint="eastAsia"/>
          <w:szCs w:val="21"/>
        </w:rPr>
        <w:t>2.填写制定或修订项目中，若选择修订则必须填写被修订计量技术规范号。</w:t>
      </w:r>
    </w:p>
    <w:p>
      <w:pPr>
        <w:numPr>
          <w:ilvl w:val="0"/>
          <w:numId w:val="0"/>
        </w:numPr>
        <w:ind w:left="1050" w:leftChars="0"/>
        <w:rPr>
          <w:rFonts w:hint="eastAsia"/>
          <w:szCs w:val="21"/>
        </w:rPr>
      </w:pPr>
    </w:p>
    <w:p>
      <w:pPr>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682A"/>
    <w:rsid w:val="00061EF9"/>
    <w:rsid w:val="0006791C"/>
    <w:rsid w:val="000B2C87"/>
    <w:rsid w:val="000B76A7"/>
    <w:rsid w:val="001327BF"/>
    <w:rsid w:val="00137D53"/>
    <w:rsid w:val="00142C97"/>
    <w:rsid w:val="00165CF4"/>
    <w:rsid w:val="00191A23"/>
    <w:rsid w:val="001A6319"/>
    <w:rsid w:val="001B1109"/>
    <w:rsid w:val="001C7479"/>
    <w:rsid w:val="001D6492"/>
    <w:rsid w:val="001F1E15"/>
    <w:rsid w:val="00220765"/>
    <w:rsid w:val="00224E9C"/>
    <w:rsid w:val="002361A8"/>
    <w:rsid w:val="0024351E"/>
    <w:rsid w:val="002A52DC"/>
    <w:rsid w:val="002C2E4A"/>
    <w:rsid w:val="002D0B8E"/>
    <w:rsid w:val="002E2E3A"/>
    <w:rsid w:val="003813B1"/>
    <w:rsid w:val="003C5E0E"/>
    <w:rsid w:val="0045334C"/>
    <w:rsid w:val="004F2F0A"/>
    <w:rsid w:val="00516D40"/>
    <w:rsid w:val="005774D1"/>
    <w:rsid w:val="005B43B7"/>
    <w:rsid w:val="00641058"/>
    <w:rsid w:val="00643672"/>
    <w:rsid w:val="00647228"/>
    <w:rsid w:val="006574E4"/>
    <w:rsid w:val="00681DE2"/>
    <w:rsid w:val="00683E3B"/>
    <w:rsid w:val="0075669B"/>
    <w:rsid w:val="007F4C71"/>
    <w:rsid w:val="00823986"/>
    <w:rsid w:val="008C6D89"/>
    <w:rsid w:val="008E14B4"/>
    <w:rsid w:val="00927B91"/>
    <w:rsid w:val="009773E1"/>
    <w:rsid w:val="00980C76"/>
    <w:rsid w:val="009D7AFC"/>
    <w:rsid w:val="00A515A1"/>
    <w:rsid w:val="00AB2D0B"/>
    <w:rsid w:val="00AF6CE9"/>
    <w:rsid w:val="00B17841"/>
    <w:rsid w:val="00B24859"/>
    <w:rsid w:val="00B36306"/>
    <w:rsid w:val="00B47AAE"/>
    <w:rsid w:val="00B62EE9"/>
    <w:rsid w:val="00B73443"/>
    <w:rsid w:val="00BB04B5"/>
    <w:rsid w:val="00BB3BAA"/>
    <w:rsid w:val="00BD1D8A"/>
    <w:rsid w:val="00BD4ABD"/>
    <w:rsid w:val="00BD59EB"/>
    <w:rsid w:val="00C500B4"/>
    <w:rsid w:val="00C6562D"/>
    <w:rsid w:val="00C73A6F"/>
    <w:rsid w:val="00C91BE8"/>
    <w:rsid w:val="00CD0CA1"/>
    <w:rsid w:val="00CF770F"/>
    <w:rsid w:val="00D311E0"/>
    <w:rsid w:val="00D40D04"/>
    <w:rsid w:val="00DA4C2A"/>
    <w:rsid w:val="00E061A0"/>
    <w:rsid w:val="00EB250E"/>
    <w:rsid w:val="00F23DCA"/>
    <w:rsid w:val="00F27F87"/>
    <w:rsid w:val="00F6682A"/>
    <w:rsid w:val="00F937B3"/>
    <w:rsid w:val="00F940EC"/>
    <w:rsid w:val="00FF1C29"/>
    <w:rsid w:val="15FF3E91"/>
    <w:rsid w:val="46815AC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100" w:beforeAutospacing="1" w:after="100" w:afterAutospacing="1"/>
      <w:jc w:val="left"/>
    </w:pPr>
    <w:rPr>
      <w:rFonts w:ascii="Times New Roman" w:hAnsi="Times New Roman" w:eastAsia="宋体"/>
      <w:kern w:val="0"/>
      <w:sz w:val="24"/>
      <w:szCs w:val="24"/>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List Paragraph"/>
    <w:basedOn w:val="1"/>
    <w:qFormat/>
    <w:uiPriority w:val="99"/>
    <w:pPr>
      <w:ind w:firstLine="420" w:firstLineChars="200"/>
    </w:pPr>
  </w:style>
  <w:style w:type="character" w:customStyle="1" w:styleId="9">
    <w:name w:val="页眉 Char"/>
    <w:basedOn w:val="5"/>
    <w:link w:val="3"/>
    <w:semiHidden/>
    <w:uiPriority w:val="99"/>
    <w:rPr>
      <w:sz w:val="18"/>
      <w:szCs w:val="18"/>
    </w:rPr>
  </w:style>
  <w:style w:type="character" w:customStyle="1" w:styleId="10">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1882</Words>
  <Characters>10729</Characters>
  <Lines>89</Lines>
  <Paragraphs>25</Paragraphs>
  <TotalTime>0</TotalTime>
  <ScaleCrop>false</ScaleCrop>
  <LinksUpToDate>false</LinksUpToDate>
  <CharactersWithSpaces>12586</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2018-01-25T14:31:00Z</dcterms:created>
  <dc:creator>wayne and tracy</dc:creator>
  <cp:lastModifiedBy>huangxy</cp:lastModifiedBy>
  <cp:lastPrinted>2018-01-31T02:52:00Z</cp:lastPrinted>
  <dcterms:modified xsi:type="dcterms:W3CDTF">2019-02-01T03:23:30Z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